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</w:r>
    </w:p>
    <w:p>
      <w:pPr>
        <w:pStyle w:val="style0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Delegazione LA SPEZIA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TERZO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ab/>
        <w:t>NH JOLLY HOTEL   LA  SPEZIA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29.10.20  AL 18.03.21 Orario: </w:t>
      </w:r>
      <w:r>
        <w:rPr>
          <w:rFonts w:ascii="Segoe UI" w:cs="Segoe UI" w:hAnsi="Segoe UI"/>
          <w:u w:val="single"/>
          <w:lang w:val="it-IT"/>
        </w:rPr>
        <w:t xml:space="preserve"> 20.30/ 23.00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Direttore del Corso: Sommelier LAURA  PICARDI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b/>
          <w:color w:val="000000"/>
        </w:rPr>
      </w:pPr>
      <w:r>
        <w:rPr>
          <w:rFonts w:ascii="Segoe UI" w:cs="Segoe UI" w:hAnsi="Segoe UI"/>
          <w:b/>
          <w:color w:val="000000"/>
        </w:rPr>
        <w:t>Elenco relatori e degustatori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</w:rPr>
      </w:pPr>
      <w:r>
        <w:rPr>
          <w:rFonts w:ascii="Segoe UI" w:cs="Segoe UI" w:hAnsi="Segoe UI"/>
          <w:sz w:val="18"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021"/>
        <w:gridCol w:w="4887"/>
        <w:gridCol w:w="2233"/>
        <w:gridCol w:w="2880"/>
      </w:tblGrid>
      <w:tr>
        <w:trPr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Data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Moduli delle lezioni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Relatore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</w:rPr>
              <w:t>Degustatore</w:t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-2994025</wp:posOffset>
                  </wp:positionV>
                  <wp:extent cx="882650" cy="859790"/>
                  <wp:effectExtent b="0" l="0" r="0" t="0"/>
                  <wp:wrapSquare wrapText="largest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29.10.20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  <w:lang w:val="it-IT"/>
              </w:rPr>
            </w:pPr>
            <w:r>
              <w:rPr>
                <w:rFonts w:cs="Calibri"/>
                <w:sz w:val="20"/>
                <w:lang w:val="it-IT"/>
              </w:rPr>
              <w:t>1 – Analisi sensoriale del Cibo e del 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   </w:t>
            </w: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sz w:val="20"/>
                <w:szCs w:val="20"/>
              </w:rPr>
            </w:pPr>
            <w:r>
              <w:rPr>
                <w:rFonts w:ascii="Segoe UI" w:cs="Segoe UI" w:hAnsi="Segoe UI"/>
                <w:sz w:val="20"/>
                <w:szCs w:val="20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05.11.20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2 – Tecnica dell’abbinamento CIBO-VINO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12.11.20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  <w:lang w:val="it-IT"/>
              </w:rPr>
              <w:t>3 – Uova e salse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Marco Rezzano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Marco Rezzano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19.11.20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– Condimenti, erbe aromatiche e spezie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Leonardo Rusconi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Leonardo Rusconi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26.11.20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Cereali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cs="Segoe UI" w:hAnsi="Segoe UI"/>
                <w:lang w:val="it-IT"/>
              </w:rPr>
              <w:t>Adriana Ghersi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Adriana Ghersi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03.12.20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6 – </w:t>
            </w:r>
            <w:r>
              <w:rPr>
                <w:sz w:val="20"/>
                <w:lang w:val="it-IT"/>
              </w:rPr>
              <w:t xml:space="preserve">Prodotti della Pesca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  <w:r>
              <w:rPr>
                <w:rFonts w:ascii="Segoe UI" w:cs="Segoe UI" w:hAnsi="Segoe UI"/>
              </w:rPr>
              <w:t xml:space="preserve"> 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  <w:r>
              <w:rPr>
                <w:rFonts w:ascii="Segoe UI" w:cs="Segoe UI" w:hAnsi="Segoe UI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10.12.20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 – Carni bianche e rosse, Selvaggina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17.12.20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 – Prodotti di Salumeria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14.01.21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 – Funghi, Tartufi, Ortaggi e Legumi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Adriana Ghersi 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Adriana Ghersi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21.01.21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– Formaggi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Matteo Capurro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28.01.21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11 -  Formaggi 2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Matteo Capurro 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Matteo Capurro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04.02.2</w:t>
            </w:r>
            <w:r>
              <w:rPr>
                <w:rFonts w:ascii="Segoe UI" w:cs="Segoe UI" w:hAnsi="Segoe UI"/>
              </w:rPr>
              <w:t>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12 – Dolci, gelati e frutta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11.02.21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– Dolci al Cioccolato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18.02.21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14 – CENA DIDATTICA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04.03.21 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</w:t>
            </w:r>
            <w:r>
              <w:rPr>
                <w:sz w:val="20"/>
                <w:lang w:val="it-IT"/>
              </w:rPr>
              <w:t>PROVA SCRITTA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18.03.21</w:t>
            </w:r>
          </w:p>
        </w:tc>
        <w:tc>
          <w:tcPr>
            <w:tcW w:type="dxa" w:w="48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PROVA ORALE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>
        <w:rFonts w:ascii="Cambria" w:hAnsi="Cambria"/>
        <w:sz w:val="20"/>
      </w:rPr>
    </w:pPr>
    <w:r>
      <w:rPr>
        <w:rFonts w:ascii="Cambria" w:hAnsi="Cambria"/>
        <w:sz w:val="20"/>
      </w:rPr>
      <w:t>GR3SP20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Intestazione"/>
    <w:basedOn w:val="style0"/>
    <w:next w:val="style20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Ari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"/>
    </w:rPr>
  </w:style>
  <w:style w:styleId="style24" w:type="paragraph">
    <w:name w:val="Piè di pagina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6" w:type="paragraph">
    <w:name w:val="Intestazione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2020-09-10T18:46:00Z</dcterms:created>
  <dc:creator>Roberto Chiarvetto</dc:creator>
  <cp:lastModifiedBy>Augusto</cp:lastModifiedBy>
  <cp:lastPrinted>2016-03-01T15:30:00Z</cp:lastPrinted>
  <dcterms:modified xsi:type="dcterms:W3CDTF">2020-09-10T18:46:00Z</dcterms:modified>
  <cp:revision>2</cp:revision>
</cp:coreProperties>
</file>